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7B" w:rsidRDefault="00384B7B" w:rsidP="004F6549">
      <w:pPr>
        <w:jc w:val="center"/>
      </w:pPr>
    </w:p>
    <w:p w:rsidR="00CE4238" w:rsidRPr="00CE4238" w:rsidRDefault="00D03B3C" w:rsidP="00D03B3C">
      <w:pPr>
        <w:rPr>
          <w:rFonts w:asciiTheme="minorHAnsi" w:hAnsiTheme="minorHAnsi" w:cstheme="minorHAnsi"/>
          <w:sz w:val="23"/>
          <w:szCs w:val="23"/>
        </w:rPr>
      </w:pPr>
      <w:r>
        <w:rPr>
          <w:rFonts w:asciiTheme="minorHAnsi" w:hAnsiTheme="minorHAnsi" w:cstheme="minorHAnsi"/>
          <w:sz w:val="23"/>
          <w:szCs w:val="23"/>
        </w:rPr>
        <w:t>September 1, 2020</w:t>
      </w:r>
    </w:p>
    <w:p w:rsidR="00CE4238" w:rsidRPr="00CE4238" w:rsidRDefault="00CE4238" w:rsidP="00CE4238">
      <w:pPr>
        <w:rPr>
          <w:rFonts w:asciiTheme="minorHAnsi" w:hAnsiTheme="minorHAnsi" w:cstheme="minorHAnsi"/>
          <w:sz w:val="23"/>
          <w:szCs w:val="23"/>
        </w:rPr>
      </w:pPr>
    </w:p>
    <w:p w:rsidR="00CE4238" w:rsidRPr="00CE4238" w:rsidRDefault="00CE4238" w:rsidP="00CE4238">
      <w:pPr>
        <w:jc w:val="both"/>
        <w:rPr>
          <w:rFonts w:asciiTheme="minorHAnsi" w:hAnsiTheme="minorHAnsi" w:cstheme="minorHAnsi"/>
          <w:sz w:val="23"/>
          <w:szCs w:val="23"/>
        </w:rPr>
      </w:pPr>
      <w:r w:rsidRPr="00CE4238">
        <w:rPr>
          <w:rFonts w:asciiTheme="minorHAnsi" w:hAnsiTheme="minorHAnsi" w:cstheme="minorHAnsi"/>
          <w:sz w:val="23"/>
          <w:szCs w:val="23"/>
        </w:rPr>
        <w:t>Dear Deans, Department Chairs, and Program Directors,</w:t>
      </w:r>
    </w:p>
    <w:p w:rsidR="00CE4238" w:rsidRPr="00CE4238" w:rsidRDefault="00CE4238" w:rsidP="00CE4238">
      <w:pPr>
        <w:jc w:val="both"/>
        <w:rPr>
          <w:rFonts w:asciiTheme="minorHAnsi" w:hAnsiTheme="minorHAnsi" w:cstheme="minorHAnsi"/>
          <w:sz w:val="23"/>
          <w:szCs w:val="23"/>
        </w:rPr>
      </w:pPr>
    </w:p>
    <w:p w:rsidR="00CE4238" w:rsidRPr="00CE4238" w:rsidRDefault="00CE4238" w:rsidP="00CE4238">
      <w:pPr>
        <w:jc w:val="both"/>
        <w:rPr>
          <w:rFonts w:asciiTheme="minorHAnsi" w:hAnsiTheme="minorHAnsi" w:cstheme="minorHAnsi"/>
          <w:sz w:val="23"/>
          <w:szCs w:val="23"/>
        </w:rPr>
      </w:pPr>
      <w:r w:rsidRPr="00CE4238">
        <w:rPr>
          <w:rFonts w:asciiTheme="minorHAnsi" w:hAnsiTheme="minorHAnsi" w:cstheme="minorHAnsi"/>
          <w:sz w:val="23"/>
          <w:szCs w:val="23"/>
        </w:rPr>
        <w:t xml:space="preserve">The following memorandum governs the support of graduate students from research grants for the </w:t>
      </w:r>
      <w:r w:rsidR="00D03B3C">
        <w:rPr>
          <w:rFonts w:asciiTheme="minorHAnsi" w:hAnsiTheme="minorHAnsi" w:cstheme="minorHAnsi"/>
          <w:sz w:val="23"/>
          <w:szCs w:val="23"/>
        </w:rPr>
        <w:t>2020-2021</w:t>
      </w:r>
      <w:r w:rsidRPr="00CE4238">
        <w:rPr>
          <w:rFonts w:asciiTheme="minorHAnsi" w:hAnsiTheme="minorHAnsi" w:cstheme="minorHAnsi"/>
          <w:sz w:val="23"/>
          <w:szCs w:val="23"/>
        </w:rPr>
        <w:t xml:space="preserve"> academic year. This policy is an update to the one issued in </w:t>
      </w:r>
      <w:r w:rsidR="00D03B3C">
        <w:rPr>
          <w:rFonts w:asciiTheme="minorHAnsi" w:hAnsiTheme="minorHAnsi" w:cstheme="minorHAnsi"/>
          <w:sz w:val="23"/>
          <w:szCs w:val="23"/>
        </w:rPr>
        <w:t>December 2018 for the 2019-2020</w:t>
      </w:r>
      <w:r w:rsidRPr="00CE4238">
        <w:rPr>
          <w:rFonts w:asciiTheme="minorHAnsi" w:hAnsiTheme="minorHAnsi" w:cstheme="minorHAnsi"/>
          <w:sz w:val="23"/>
          <w:szCs w:val="23"/>
        </w:rPr>
        <w:t xml:space="preserve"> and will be revisited each academic year. </w:t>
      </w:r>
      <w:r w:rsidRPr="00CE4238">
        <w:rPr>
          <w:rFonts w:asciiTheme="minorHAnsi" w:hAnsiTheme="minorHAnsi" w:cstheme="minorHAnsi"/>
          <w:b/>
          <w:sz w:val="23"/>
          <w:szCs w:val="23"/>
        </w:rPr>
        <w:t>Please ensure that the faculty in your school, department, or program is aware of this policy</w:t>
      </w:r>
      <w:r w:rsidRPr="00CE4238">
        <w:rPr>
          <w:rFonts w:asciiTheme="minorHAnsi" w:hAnsiTheme="minorHAnsi" w:cstheme="minorHAnsi"/>
          <w:sz w:val="23"/>
          <w:szCs w:val="23"/>
        </w:rPr>
        <w:t xml:space="preserve">. </w:t>
      </w:r>
    </w:p>
    <w:p w:rsidR="00CE4238" w:rsidRPr="00CE4238" w:rsidRDefault="00CE4238" w:rsidP="00CE4238">
      <w:pPr>
        <w:jc w:val="both"/>
        <w:rPr>
          <w:rFonts w:asciiTheme="minorHAnsi" w:hAnsiTheme="minorHAnsi" w:cstheme="minorHAnsi"/>
          <w:sz w:val="23"/>
          <w:szCs w:val="23"/>
        </w:rPr>
      </w:pPr>
    </w:p>
    <w:p w:rsidR="00CE4238" w:rsidRPr="00CE4238" w:rsidRDefault="00CE4238" w:rsidP="00CE4238">
      <w:pPr>
        <w:jc w:val="both"/>
        <w:rPr>
          <w:rFonts w:asciiTheme="minorHAnsi" w:hAnsiTheme="minorHAnsi" w:cstheme="minorHAnsi"/>
          <w:sz w:val="23"/>
          <w:szCs w:val="23"/>
        </w:rPr>
      </w:pPr>
      <w:r w:rsidRPr="00CE4238">
        <w:rPr>
          <w:rFonts w:asciiTheme="minorHAnsi" w:hAnsiTheme="minorHAnsi" w:cstheme="minorHAnsi"/>
          <w:sz w:val="23"/>
          <w:szCs w:val="23"/>
        </w:rPr>
        <w:t>The purpose of this policy is to encourage and reward research grant activity while being able to account for tuition remission under current budgetary models and constraints.</w:t>
      </w:r>
    </w:p>
    <w:p w:rsidR="00CE4238" w:rsidRPr="00CE4238" w:rsidRDefault="00CE4238" w:rsidP="00CE4238">
      <w:pPr>
        <w:pStyle w:val="ListParagraph"/>
        <w:ind w:left="540"/>
        <w:jc w:val="both"/>
        <w:rPr>
          <w:rFonts w:asciiTheme="minorHAnsi" w:hAnsiTheme="minorHAnsi" w:cstheme="minorHAnsi"/>
          <w:sz w:val="23"/>
          <w:szCs w:val="23"/>
        </w:rPr>
      </w:pPr>
    </w:p>
    <w:p w:rsidR="00CE4238" w:rsidRP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 xml:space="preserve">New remission of tuition awards will be available from the </w:t>
      </w:r>
      <w:r w:rsidR="00465F5E" w:rsidRPr="00CE4238">
        <w:rPr>
          <w:rFonts w:asciiTheme="minorHAnsi" w:hAnsiTheme="minorHAnsi" w:cstheme="minorHAnsi"/>
          <w:sz w:val="23"/>
          <w:szCs w:val="23"/>
        </w:rPr>
        <w:t xml:space="preserve">Office of the </w:t>
      </w:r>
      <w:r w:rsidR="00465F5E">
        <w:rPr>
          <w:rFonts w:asciiTheme="minorHAnsi" w:hAnsiTheme="minorHAnsi" w:cstheme="minorHAnsi"/>
          <w:sz w:val="23"/>
          <w:szCs w:val="23"/>
        </w:rPr>
        <w:t xml:space="preserve">Senior </w:t>
      </w:r>
      <w:r w:rsidR="00465F5E" w:rsidRPr="00CE4238">
        <w:rPr>
          <w:rFonts w:asciiTheme="minorHAnsi" w:hAnsiTheme="minorHAnsi" w:cstheme="minorHAnsi"/>
          <w:sz w:val="23"/>
          <w:szCs w:val="23"/>
        </w:rPr>
        <w:t xml:space="preserve">Vice Provost </w:t>
      </w:r>
      <w:r w:rsidR="00465F5E">
        <w:rPr>
          <w:rFonts w:asciiTheme="minorHAnsi" w:hAnsiTheme="minorHAnsi" w:cstheme="minorHAnsi"/>
          <w:sz w:val="23"/>
          <w:szCs w:val="23"/>
        </w:rPr>
        <w:t xml:space="preserve">for Academic Administration </w:t>
      </w:r>
      <w:r w:rsidR="00465F5E" w:rsidRPr="00CE4238">
        <w:rPr>
          <w:rFonts w:asciiTheme="minorHAnsi" w:hAnsiTheme="minorHAnsi" w:cstheme="minorHAnsi"/>
          <w:sz w:val="23"/>
          <w:szCs w:val="23"/>
        </w:rPr>
        <w:t>and Dean of Graduate Stu</w:t>
      </w:r>
      <w:r w:rsidR="00465F5E">
        <w:rPr>
          <w:rFonts w:asciiTheme="minorHAnsi" w:hAnsiTheme="minorHAnsi" w:cstheme="minorHAnsi"/>
          <w:sz w:val="23"/>
          <w:szCs w:val="23"/>
        </w:rPr>
        <w:t>dies</w:t>
      </w:r>
      <w:bookmarkStart w:id="0" w:name="_GoBack"/>
      <w:bookmarkEnd w:id="0"/>
      <w:r w:rsidRPr="00CE4238">
        <w:rPr>
          <w:rFonts w:asciiTheme="minorHAnsi" w:hAnsiTheme="minorHAnsi" w:cstheme="minorHAnsi"/>
          <w:sz w:val="23"/>
          <w:szCs w:val="23"/>
        </w:rPr>
        <w:t xml:space="preserve"> to graduate students engaged in research if, in the semester in which they will receive the remission, the student meets the following criteria:</w:t>
      </w:r>
    </w:p>
    <w:p w:rsidR="00CE4238" w:rsidRPr="0059464A" w:rsidRDefault="00CE4238" w:rsidP="00CE4238">
      <w:pPr>
        <w:pStyle w:val="ListParagraph"/>
        <w:numPr>
          <w:ilvl w:val="1"/>
          <w:numId w:val="3"/>
        </w:numPr>
        <w:jc w:val="both"/>
        <w:rPr>
          <w:rFonts w:asciiTheme="minorHAnsi" w:hAnsiTheme="minorHAnsi" w:cstheme="minorHAnsi"/>
          <w:sz w:val="23"/>
          <w:szCs w:val="23"/>
        </w:rPr>
      </w:pPr>
      <w:r w:rsidRPr="0059464A">
        <w:rPr>
          <w:rFonts w:asciiTheme="minorHAnsi" w:hAnsiTheme="minorHAnsi" w:cstheme="minorHAnsi"/>
          <w:sz w:val="23"/>
          <w:szCs w:val="23"/>
        </w:rPr>
        <w:t xml:space="preserve">The student is paid a minimum stipend of $9,000 per semester from an externally funded research grant carrying full off-campus overhead charges (see </w:t>
      </w:r>
      <w:hyperlink r:id="rId8" w:history="1">
        <w:r w:rsidR="0059464A" w:rsidRPr="0059464A">
          <w:rPr>
            <w:rStyle w:val="Hyperlink"/>
            <w:rFonts w:asciiTheme="minorHAnsi" w:hAnsiTheme="minorHAnsi"/>
            <w:sz w:val="23"/>
            <w:szCs w:val="23"/>
          </w:rPr>
          <w:t>https://sponsored-research.catholic.edu/budget/index.html</w:t>
        </w:r>
      </w:hyperlink>
      <w:r w:rsidR="00465F5E">
        <w:rPr>
          <w:rFonts w:asciiTheme="minorHAnsi" w:hAnsiTheme="minorHAnsi" w:cstheme="minorHAnsi"/>
          <w:sz w:val="23"/>
          <w:szCs w:val="23"/>
        </w:rPr>
        <w:t>)</w:t>
      </w:r>
      <w:r w:rsidRPr="0059464A">
        <w:rPr>
          <w:rFonts w:asciiTheme="minorHAnsi" w:hAnsiTheme="minorHAnsi" w:cstheme="minorHAnsi"/>
          <w:sz w:val="23"/>
          <w:szCs w:val="23"/>
        </w:rPr>
        <w:t xml:space="preserve">. </w:t>
      </w:r>
    </w:p>
    <w:p w:rsidR="00CE4238" w:rsidRPr="00CE4238" w:rsidRDefault="00CE4238" w:rsidP="00CE4238">
      <w:pPr>
        <w:pStyle w:val="ListParagraph"/>
        <w:numPr>
          <w:ilvl w:val="1"/>
          <w:numId w:val="3"/>
        </w:numPr>
        <w:jc w:val="both"/>
        <w:rPr>
          <w:rFonts w:asciiTheme="minorHAnsi" w:hAnsiTheme="minorHAnsi" w:cstheme="minorHAnsi"/>
          <w:sz w:val="23"/>
          <w:szCs w:val="23"/>
        </w:rPr>
      </w:pPr>
      <w:r w:rsidRPr="00CE4238">
        <w:rPr>
          <w:rFonts w:asciiTheme="minorHAnsi" w:hAnsiTheme="minorHAnsi" w:cstheme="minorHAnsi"/>
          <w:sz w:val="23"/>
          <w:szCs w:val="23"/>
        </w:rPr>
        <w:t xml:space="preserve">The externally funded research grant also pays $4,000 per semester, or the total tuition amount if a student’s tuition charge is less than this amount (see item 8). </w:t>
      </w:r>
    </w:p>
    <w:p w:rsidR="00CE4238" w:rsidRPr="00CE4238" w:rsidRDefault="00CE4238" w:rsidP="00CE4238">
      <w:pPr>
        <w:pStyle w:val="ListParagraph"/>
        <w:numPr>
          <w:ilvl w:val="1"/>
          <w:numId w:val="3"/>
        </w:numPr>
        <w:jc w:val="both"/>
        <w:rPr>
          <w:rFonts w:asciiTheme="minorHAnsi" w:hAnsiTheme="minorHAnsi" w:cstheme="minorHAnsi"/>
          <w:sz w:val="23"/>
          <w:szCs w:val="23"/>
        </w:rPr>
      </w:pPr>
      <w:r w:rsidRPr="00CE4238">
        <w:rPr>
          <w:rFonts w:asciiTheme="minorHAnsi" w:hAnsiTheme="minorHAnsi" w:cstheme="minorHAnsi"/>
          <w:sz w:val="23"/>
          <w:szCs w:val="23"/>
        </w:rPr>
        <w:t xml:space="preserve">Documentation showing the stipend amount should accompany the paperwork requesting the tuition remission.  </w:t>
      </w:r>
    </w:p>
    <w:p w:rsidR="00CE4238" w:rsidRPr="00CE4238" w:rsidRDefault="00CE4238" w:rsidP="00CE4238">
      <w:pPr>
        <w:pStyle w:val="ListParagraph"/>
        <w:ind w:left="1440"/>
        <w:jc w:val="both"/>
        <w:rPr>
          <w:rFonts w:asciiTheme="minorHAnsi" w:hAnsiTheme="minorHAnsi" w:cstheme="minorHAnsi"/>
          <w:sz w:val="23"/>
          <w:szCs w:val="23"/>
        </w:rPr>
      </w:pPr>
    </w:p>
    <w:p w:rsidR="00CE4238" w:rsidRPr="00CE4238" w:rsidRDefault="00CE4238" w:rsidP="0059464A">
      <w:pPr>
        <w:pStyle w:val="ListParagraph"/>
        <w:numPr>
          <w:ilvl w:val="0"/>
          <w:numId w:val="3"/>
        </w:numPr>
        <w:ind w:left="547"/>
        <w:jc w:val="both"/>
        <w:rPr>
          <w:rFonts w:asciiTheme="minorHAnsi" w:hAnsiTheme="minorHAnsi" w:cstheme="minorHAnsi"/>
          <w:sz w:val="23"/>
          <w:szCs w:val="23"/>
        </w:rPr>
      </w:pPr>
      <w:r w:rsidRPr="00CE4238">
        <w:rPr>
          <w:rFonts w:asciiTheme="minorHAnsi" w:hAnsiTheme="minorHAnsi" w:cstheme="minorHAnsi"/>
          <w:sz w:val="23"/>
          <w:szCs w:val="23"/>
        </w:rPr>
        <w:t>Graduate students who receive stipends from other sources for research support, including school, department, or program budgets, or who receive less than the stipulated stipend amount of $9,000 per semester</w:t>
      </w:r>
      <w:r w:rsidR="00465F5E">
        <w:rPr>
          <w:rFonts w:asciiTheme="minorHAnsi" w:hAnsiTheme="minorHAnsi" w:cstheme="minorHAnsi"/>
          <w:sz w:val="23"/>
          <w:szCs w:val="23"/>
        </w:rPr>
        <w:t xml:space="preserve"> </w:t>
      </w:r>
      <w:r w:rsidRPr="00CE4238">
        <w:rPr>
          <w:rFonts w:asciiTheme="minorHAnsi" w:hAnsiTheme="minorHAnsi" w:cstheme="minorHAnsi"/>
          <w:sz w:val="23"/>
          <w:szCs w:val="23"/>
        </w:rPr>
        <w:t xml:space="preserve">are not eligible for research tuition waivers under this policy. These students remain eligible to receive other university, school, and departmental scholarships from the general scholarship allocation given to each school at the beginning of the academic year. </w:t>
      </w:r>
    </w:p>
    <w:p w:rsidR="00CE4238" w:rsidRPr="00CE4238" w:rsidRDefault="00CE4238" w:rsidP="00CE4238">
      <w:pPr>
        <w:pStyle w:val="ListParagraph"/>
        <w:ind w:left="540"/>
        <w:rPr>
          <w:rFonts w:asciiTheme="minorHAnsi" w:hAnsiTheme="minorHAnsi" w:cstheme="minorHAnsi"/>
          <w:sz w:val="23"/>
          <w:szCs w:val="23"/>
        </w:rPr>
      </w:pPr>
    </w:p>
    <w:p w:rsidR="0059464A"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u w:val="single"/>
        </w:rPr>
        <w:t>Effective January 1, 2019, all proposals must include tuition support of $4,000/semester per student</w:t>
      </w:r>
      <w:r w:rsidRPr="00CE4238">
        <w:rPr>
          <w:rFonts w:asciiTheme="minorHAnsi" w:hAnsiTheme="minorHAnsi" w:cstheme="minorHAnsi"/>
          <w:sz w:val="23"/>
          <w:szCs w:val="23"/>
        </w:rPr>
        <w:t>, provided the funding agency does not disallow the inclusion of tuition support in proposals.</w:t>
      </w:r>
    </w:p>
    <w:p w:rsidR="00465F5E" w:rsidRPr="00465F5E" w:rsidRDefault="00465F5E" w:rsidP="00465F5E">
      <w:pPr>
        <w:pStyle w:val="ListParagraph"/>
        <w:rPr>
          <w:rFonts w:asciiTheme="minorHAnsi" w:hAnsiTheme="minorHAnsi" w:cstheme="minorHAnsi"/>
          <w:sz w:val="23"/>
          <w:szCs w:val="23"/>
        </w:rPr>
      </w:pPr>
    </w:p>
    <w:p w:rsid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lastRenderedPageBreak/>
        <w:t>Pre-existing and on-going commitments of tuition waiver support for graduate students who receive full stipend support from externally funded research grants must be supported from within the normal scholarship allocation awarded each academic year to the schools, and are not included in this external grants policy. Likewise, graduate students supported by externally funded research grants who do not meet the burden of (1)-(3) must be supported from the general scholarship allocation awarded each academic year to the schools.</w:t>
      </w:r>
    </w:p>
    <w:p w:rsidR="00CE4238" w:rsidRPr="00CE4238" w:rsidRDefault="00CE4238" w:rsidP="00CE4238">
      <w:pPr>
        <w:jc w:val="both"/>
        <w:rPr>
          <w:rFonts w:asciiTheme="minorHAnsi" w:hAnsiTheme="minorHAnsi" w:cstheme="minorHAnsi"/>
          <w:sz w:val="23"/>
          <w:szCs w:val="23"/>
        </w:rPr>
      </w:pPr>
    </w:p>
    <w:p w:rsidR="00CE4238" w:rsidRP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Only graduate students with full-time academic status as defined in</w:t>
      </w:r>
      <w:r w:rsidR="0059464A">
        <w:rPr>
          <w:rFonts w:asciiTheme="minorHAnsi" w:hAnsiTheme="minorHAnsi" w:cstheme="minorHAnsi"/>
          <w:sz w:val="23"/>
          <w:szCs w:val="23"/>
        </w:rPr>
        <w:t xml:space="preserve"> the Graduate Enrollment Policy </w:t>
      </w:r>
      <w:r w:rsidRPr="00CE4238">
        <w:rPr>
          <w:rFonts w:asciiTheme="minorHAnsi" w:hAnsiTheme="minorHAnsi" w:cstheme="minorHAnsi"/>
          <w:sz w:val="23"/>
          <w:szCs w:val="23"/>
        </w:rPr>
        <w:t>(</w:t>
      </w:r>
      <w:hyperlink r:id="rId9" w:history="1">
        <w:r w:rsidR="0059464A" w:rsidRPr="00D1459B">
          <w:rPr>
            <w:rStyle w:val="Hyperlink"/>
            <w:rFonts w:asciiTheme="minorHAnsi" w:hAnsiTheme="minorHAnsi" w:cstheme="minorHAnsi"/>
            <w:sz w:val="23"/>
            <w:szCs w:val="23"/>
          </w:rPr>
          <w:t>http://policies.cua.edu/academicgrad/enrollgradfull2.cfm</w:t>
        </w:r>
      </w:hyperlink>
      <w:r w:rsidRPr="00CE4238">
        <w:rPr>
          <w:rFonts w:asciiTheme="minorHAnsi" w:hAnsiTheme="minorHAnsi" w:cstheme="minorHAnsi"/>
          <w:sz w:val="23"/>
          <w:szCs w:val="23"/>
        </w:rPr>
        <w:t>)</w:t>
      </w:r>
      <w:r w:rsidR="0059464A">
        <w:rPr>
          <w:rFonts w:asciiTheme="minorHAnsi" w:hAnsiTheme="minorHAnsi" w:cstheme="minorHAnsi"/>
          <w:sz w:val="23"/>
          <w:szCs w:val="23"/>
        </w:rPr>
        <w:t xml:space="preserve"> </w:t>
      </w:r>
      <w:r w:rsidRPr="00CE4238">
        <w:rPr>
          <w:rFonts w:asciiTheme="minorHAnsi" w:hAnsiTheme="minorHAnsi" w:cstheme="minorHAnsi"/>
          <w:sz w:val="23"/>
          <w:szCs w:val="23"/>
        </w:rPr>
        <w:t xml:space="preserve">may receive tuition remission. </w:t>
      </w:r>
    </w:p>
    <w:p w:rsidR="00CE4238" w:rsidRPr="00CE4238" w:rsidRDefault="00CE4238" w:rsidP="00CE4238">
      <w:pPr>
        <w:pStyle w:val="NoSpacing"/>
        <w:ind w:left="540" w:firstLine="360"/>
        <w:jc w:val="both"/>
        <w:rPr>
          <w:rFonts w:cstheme="minorHAnsi"/>
          <w:sz w:val="23"/>
          <w:szCs w:val="23"/>
        </w:rPr>
      </w:pPr>
    </w:p>
    <w:p w:rsidR="00CE4238" w:rsidRP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 xml:space="preserve">Tuition remission </w:t>
      </w:r>
      <w:r w:rsidR="0059464A">
        <w:rPr>
          <w:rFonts w:asciiTheme="minorHAnsi" w:hAnsiTheme="minorHAnsi" w:cstheme="minorHAnsi"/>
          <w:sz w:val="23"/>
          <w:szCs w:val="23"/>
        </w:rPr>
        <w:t>from</w:t>
      </w:r>
      <w:r w:rsidRPr="00CE4238">
        <w:rPr>
          <w:rFonts w:asciiTheme="minorHAnsi" w:hAnsiTheme="minorHAnsi" w:cstheme="minorHAnsi"/>
          <w:sz w:val="23"/>
          <w:szCs w:val="23"/>
        </w:rPr>
        <w:t xml:space="preserve"> the university scholarship allocation is not available for courses taken during the summer session(s). If a graduate student is required to take summer session courses, these costs must be paid directly by the externally funded research grant.</w:t>
      </w:r>
    </w:p>
    <w:p w:rsidR="00CE4238" w:rsidRPr="00CE4238" w:rsidRDefault="00CE4238" w:rsidP="00CE4238">
      <w:pPr>
        <w:pStyle w:val="ListParagraph"/>
        <w:ind w:left="540"/>
        <w:jc w:val="both"/>
        <w:rPr>
          <w:rFonts w:asciiTheme="minorHAnsi" w:hAnsiTheme="minorHAnsi" w:cstheme="minorHAnsi"/>
          <w:sz w:val="23"/>
          <w:szCs w:val="23"/>
        </w:rPr>
      </w:pPr>
    </w:p>
    <w:p w:rsidR="00CE4238" w:rsidRPr="00CE4238" w:rsidRDefault="0059464A" w:rsidP="00CE4238">
      <w:pPr>
        <w:pStyle w:val="ListParagraph"/>
        <w:numPr>
          <w:ilvl w:val="0"/>
          <w:numId w:val="3"/>
        </w:numPr>
        <w:ind w:left="540"/>
        <w:jc w:val="both"/>
        <w:rPr>
          <w:rFonts w:asciiTheme="minorHAnsi" w:hAnsiTheme="minorHAnsi" w:cstheme="minorHAnsi"/>
          <w:sz w:val="23"/>
          <w:szCs w:val="23"/>
        </w:rPr>
      </w:pPr>
      <w:r>
        <w:rPr>
          <w:rFonts w:asciiTheme="minorHAnsi" w:hAnsiTheme="minorHAnsi" w:cstheme="minorHAnsi"/>
          <w:sz w:val="23"/>
          <w:szCs w:val="23"/>
        </w:rPr>
        <w:t>All documents</w:t>
      </w:r>
      <w:r w:rsidR="00CE4238" w:rsidRPr="00CE4238">
        <w:rPr>
          <w:rFonts w:asciiTheme="minorHAnsi" w:hAnsiTheme="minorHAnsi" w:cstheme="minorHAnsi"/>
          <w:sz w:val="23"/>
          <w:szCs w:val="23"/>
        </w:rPr>
        <w:t xml:space="preserve"> requesting tuition remission must be sent to the </w:t>
      </w:r>
      <w:r w:rsidRPr="00CE4238">
        <w:rPr>
          <w:rFonts w:asciiTheme="minorHAnsi" w:hAnsiTheme="minorHAnsi" w:cstheme="minorHAnsi"/>
          <w:sz w:val="23"/>
          <w:szCs w:val="23"/>
        </w:rPr>
        <w:t xml:space="preserve">Office of the </w:t>
      </w:r>
      <w:r>
        <w:rPr>
          <w:rFonts w:asciiTheme="minorHAnsi" w:hAnsiTheme="minorHAnsi" w:cstheme="minorHAnsi"/>
          <w:sz w:val="23"/>
          <w:szCs w:val="23"/>
        </w:rPr>
        <w:t xml:space="preserve">Senior </w:t>
      </w:r>
      <w:proofErr w:type="gramStart"/>
      <w:r w:rsidRPr="00CE4238">
        <w:rPr>
          <w:rFonts w:asciiTheme="minorHAnsi" w:hAnsiTheme="minorHAnsi" w:cstheme="minorHAnsi"/>
          <w:sz w:val="23"/>
          <w:szCs w:val="23"/>
        </w:rPr>
        <w:t>Vice</w:t>
      </w:r>
      <w:proofErr w:type="gramEnd"/>
      <w:r w:rsidRPr="00CE4238">
        <w:rPr>
          <w:rFonts w:asciiTheme="minorHAnsi" w:hAnsiTheme="minorHAnsi" w:cstheme="minorHAnsi"/>
          <w:sz w:val="23"/>
          <w:szCs w:val="23"/>
        </w:rPr>
        <w:t xml:space="preserve"> Provost </w:t>
      </w:r>
      <w:r>
        <w:rPr>
          <w:rFonts w:asciiTheme="minorHAnsi" w:hAnsiTheme="minorHAnsi" w:cstheme="minorHAnsi"/>
          <w:sz w:val="23"/>
          <w:szCs w:val="23"/>
        </w:rPr>
        <w:t xml:space="preserve">for Academic Administration </w:t>
      </w:r>
      <w:r w:rsidRPr="00CE4238">
        <w:rPr>
          <w:rFonts w:asciiTheme="minorHAnsi" w:hAnsiTheme="minorHAnsi" w:cstheme="minorHAnsi"/>
          <w:sz w:val="23"/>
          <w:szCs w:val="23"/>
        </w:rPr>
        <w:t>and Dean of Graduate Stu</w:t>
      </w:r>
      <w:r>
        <w:rPr>
          <w:rFonts w:asciiTheme="minorHAnsi" w:hAnsiTheme="minorHAnsi" w:cstheme="minorHAnsi"/>
          <w:sz w:val="23"/>
          <w:szCs w:val="23"/>
        </w:rPr>
        <w:t xml:space="preserve">dies </w:t>
      </w:r>
      <w:r w:rsidR="00CE4238" w:rsidRPr="00CE4238">
        <w:rPr>
          <w:rFonts w:asciiTheme="minorHAnsi" w:hAnsiTheme="minorHAnsi" w:cstheme="minorHAnsi"/>
          <w:sz w:val="23"/>
          <w:szCs w:val="23"/>
        </w:rPr>
        <w:t xml:space="preserve">along with the appropriate graduate assistantship form(s), which show the source of the grant. </w:t>
      </w:r>
    </w:p>
    <w:p w:rsidR="00CE4238" w:rsidRPr="00CE4238" w:rsidRDefault="00CE4238" w:rsidP="00CE4238">
      <w:pPr>
        <w:pStyle w:val="ListParagraph"/>
        <w:ind w:left="540"/>
        <w:jc w:val="both"/>
        <w:rPr>
          <w:rFonts w:asciiTheme="minorHAnsi" w:hAnsiTheme="minorHAnsi" w:cstheme="minorHAnsi"/>
          <w:sz w:val="23"/>
          <w:szCs w:val="23"/>
        </w:rPr>
      </w:pPr>
    </w:p>
    <w:p w:rsidR="0059464A" w:rsidRPr="00CE4238" w:rsidRDefault="0059464A" w:rsidP="0059464A">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 xml:space="preserve">The Office of the </w:t>
      </w:r>
      <w:r>
        <w:rPr>
          <w:rFonts w:asciiTheme="minorHAnsi" w:hAnsiTheme="minorHAnsi" w:cstheme="minorHAnsi"/>
          <w:sz w:val="23"/>
          <w:szCs w:val="23"/>
        </w:rPr>
        <w:t xml:space="preserve">Senior </w:t>
      </w:r>
      <w:proofErr w:type="gramStart"/>
      <w:r w:rsidRPr="00CE4238">
        <w:rPr>
          <w:rFonts w:asciiTheme="minorHAnsi" w:hAnsiTheme="minorHAnsi" w:cstheme="minorHAnsi"/>
          <w:sz w:val="23"/>
          <w:szCs w:val="23"/>
        </w:rPr>
        <w:t>Vice</w:t>
      </w:r>
      <w:proofErr w:type="gramEnd"/>
      <w:r w:rsidRPr="00CE4238">
        <w:rPr>
          <w:rFonts w:asciiTheme="minorHAnsi" w:hAnsiTheme="minorHAnsi" w:cstheme="minorHAnsi"/>
          <w:sz w:val="23"/>
          <w:szCs w:val="23"/>
        </w:rPr>
        <w:t xml:space="preserve"> Provost </w:t>
      </w:r>
      <w:r>
        <w:rPr>
          <w:rFonts w:asciiTheme="minorHAnsi" w:hAnsiTheme="minorHAnsi" w:cstheme="minorHAnsi"/>
          <w:sz w:val="23"/>
          <w:szCs w:val="23"/>
        </w:rPr>
        <w:t xml:space="preserve">for Academic Administration </w:t>
      </w:r>
      <w:r w:rsidRPr="00CE4238">
        <w:rPr>
          <w:rFonts w:asciiTheme="minorHAnsi" w:hAnsiTheme="minorHAnsi" w:cstheme="minorHAnsi"/>
          <w:sz w:val="23"/>
          <w:szCs w:val="23"/>
        </w:rPr>
        <w:t>and Dean of Graduate Stu</w:t>
      </w:r>
      <w:r>
        <w:rPr>
          <w:rFonts w:asciiTheme="minorHAnsi" w:hAnsiTheme="minorHAnsi" w:cstheme="minorHAnsi"/>
          <w:sz w:val="23"/>
          <w:szCs w:val="23"/>
        </w:rPr>
        <w:t xml:space="preserve">dies </w:t>
      </w:r>
      <w:r w:rsidRPr="00CE4238">
        <w:rPr>
          <w:rFonts w:asciiTheme="minorHAnsi" w:hAnsiTheme="minorHAnsi" w:cstheme="minorHAnsi"/>
          <w:sz w:val="23"/>
          <w:szCs w:val="23"/>
        </w:rPr>
        <w:t xml:space="preserve">must receive the </w:t>
      </w:r>
      <w:r>
        <w:rPr>
          <w:rFonts w:asciiTheme="minorHAnsi" w:hAnsiTheme="minorHAnsi" w:cstheme="minorHAnsi"/>
          <w:sz w:val="23"/>
          <w:szCs w:val="23"/>
        </w:rPr>
        <w:t>documentation</w:t>
      </w:r>
      <w:r w:rsidRPr="00CE4238">
        <w:rPr>
          <w:rFonts w:asciiTheme="minorHAnsi" w:hAnsiTheme="minorHAnsi" w:cstheme="minorHAnsi"/>
          <w:sz w:val="23"/>
          <w:szCs w:val="23"/>
        </w:rPr>
        <w:t xml:space="preserve"> that requests tuition remission by the deadlines specified by </w:t>
      </w:r>
      <w:r>
        <w:rPr>
          <w:rFonts w:asciiTheme="minorHAnsi" w:hAnsiTheme="minorHAnsi" w:cstheme="minorHAnsi"/>
          <w:sz w:val="23"/>
          <w:szCs w:val="23"/>
        </w:rPr>
        <w:t>that office</w:t>
      </w:r>
      <w:r w:rsidRPr="00CE4238">
        <w:rPr>
          <w:rFonts w:asciiTheme="minorHAnsi" w:hAnsiTheme="minorHAnsi" w:cstheme="minorHAnsi"/>
          <w:sz w:val="23"/>
          <w:szCs w:val="23"/>
        </w:rPr>
        <w:t xml:space="preserve">. Tuition remission requests submitted after these deadlines will not be granted. </w:t>
      </w:r>
    </w:p>
    <w:p w:rsidR="00CE4238" w:rsidRPr="00CE4238" w:rsidRDefault="00CE4238" w:rsidP="00CE4238">
      <w:pPr>
        <w:pStyle w:val="ListParagraph"/>
        <w:ind w:left="540"/>
        <w:rPr>
          <w:rFonts w:asciiTheme="minorHAnsi" w:hAnsiTheme="minorHAnsi" w:cstheme="minorHAnsi"/>
          <w:sz w:val="23"/>
          <w:szCs w:val="23"/>
        </w:rPr>
      </w:pPr>
    </w:p>
    <w:p w:rsidR="00CE4238" w:rsidRP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In cases of qualifying research assistantship appointments being made in the fall term for both fall and spring semesters of the academic year, requests for tuition remission must be made for the period extending over both the fall and spring semesters.</w:t>
      </w:r>
    </w:p>
    <w:p w:rsidR="00CE4238" w:rsidRPr="00CE4238" w:rsidRDefault="00CE4238" w:rsidP="00CE4238">
      <w:pPr>
        <w:pStyle w:val="ListParagraph"/>
        <w:ind w:left="540"/>
        <w:jc w:val="both"/>
        <w:rPr>
          <w:rFonts w:asciiTheme="minorHAnsi" w:hAnsiTheme="minorHAnsi" w:cstheme="minorHAnsi"/>
          <w:sz w:val="23"/>
          <w:szCs w:val="23"/>
        </w:rPr>
      </w:pPr>
    </w:p>
    <w:p w:rsidR="00CE4238" w:rsidRPr="00CE4238" w:rsidRDefault="00CE4238" w:rsidP="00CE4238">
      <w:pPr>
        <w:pStyle w:val="ListParagraph"/>
        <w:numPr>
          <w:ilvl w:val="0"/>
          <w:numId w:val="3"/>
        </w:numPr>
        <w:ind w:left="540"/>
        <w:jc w:val="both"/>
        <w:rPr>
          <w:rFonts w:asciiTheme="minorHAnsi" w:hAnsiTheme="minorHAnsi" w:cstheme="minorHAnsi"/>
          <w:sz w:val="23"/>
          <w:szCs w:val="23"/>
        </w:rPr>
      </w:pPr>
      <w:r w:rsidRPr="00CE4238">
        <w:rPr>
          <w:rFonts w:asciiTheme="minorHAnsi" w:hAnsiTheme="minorHAnsi" w:cstheme="minorHAnsi"/>
          <w:sz w:val="23"/>
          <w:szCs w:val="23"/>
        </w:rPr>
        <w:t>In order to receive tuition remission, a student must maintain a cumulative GPA of at least 3.40 throughout the life of the research grant.</w:t>
      </w:r>
    </w:p>
    <w:p w:rsidR="00CE4238" w:rsidRPr="00CE4238" w:rsidRDefault="00CE4238" w:rsidP="00CE4238">
      <w:pPr>
        <w:pStyle w:val="ListParagraph"/>
        <w:rPr>
          <w:rFonts w:asciiTheme="minorHAnsi" w:hAnsiTheme="minorHAnsi" w:cstheme="minorHAnsi"/>
          <w:sz w:val="23"/>
          <w:szCs w:val="23"/>
        </w:rPr>
      </w:pPr>
    </w:p>
    <w:p w:rsidR="00CE4238" w:rsidRPr="00D03B3C" w:rsidRDefault="00CE4238" w:rsidP="00D03B3C">
      <w:pPr>
        <w:jc w:val="both"/>
        <w:rPr>
          <w:rFonts w:asciiTheme="minorHAnsi" w:hAnsiTheme="minorHAnsi" w:cstheme="minorHAnsi"/>
          <w:sz w:val="23"/>
          <w:szCs w:val="23"/>
        </w:rPr>
      </w:pPr>
      <w:r w:rsidRPr="00D03B3C">
        <w:rPr>
          <w:rFonts w:asciiTheme="minorHAnsi" w:hAnsiTheme="minorHAnsi" w:cstheme="minorHAnsi"/>
          <w:sz w:val="23"/>
          <w:szCs w:val="23"/>
        </w:rPr>
        <w:t xml:space="preserve">If you have any questions about this tuition remission and research grant policy, please do not hesitate to contact my office or Mr. Ralph Albano, </w:t>
      </w:r>
      <w:r w:rsidR="00D03B3C" w:rsidRPr="00D03B3C">
        <w:rPr>
          <w:rFonts w:asciiTheme="minorHAnsi" w:hAnsiTheme="minorHAnsi" w:cstheme="minorHAnsi"/>
          <w:sz w:val="23"/>
          <w:szCs w:val="23"/>
        </w:rPr>
        <w:t>Vice Provost for Sponsored Research, Research Compliance, and Technology Transfer</w:t>
      </w:r>
      <w:r w:rsidRPr="00D03B3C">
        <w:rPr>
          <w:rFonts w:asciiTheme="minorHAnsi" w:hAnsiTheme="minorHAnsi" w:cstheme="minorHAnsi"/>
          <w:sz w:val="23"/>
          <w:szCs w:val="23"/>
        </w:rPr>
        <w:t>.</w:t>
      </w:r>
    </w:p>
    <w:p w:rsidR="00CE4238" w:rsidRPr="00E47650" w:rsidRDefault="00CE4238" w:rsidP="00CE4238">
      <w:pPr>
        <w:ind w:left="5040"/>
        <w:jc w:val="both"/>
        <w:rPr>
          <w:rFonts w:asciiTheme="minorHAnsi" w:hAnsiTheme="minorHAnsi"/>
          <w:sz w:val="23"/>
          <w:szCs w:val="23"/>
        </w:rPr>
      </w:pPr>
    </w:p>
    <w:p w:rsidR="00CE4238" w:rsidRPr="00E47650" w:rsidRDefault="00CE4238" w:rsidP="00CE4238">
      <w:pPr>
        <w:ind w:left="5040"/>
        <w:jc w:val="both"/>
        <w:rPr>
          <w:rFonts w:asciiTheme="minorHAnsi" w:hAnsiTheme="minorHAnsi"/>
          <w:sz w:val="23"/>
          <w:szCs w:val="23"/>
        </w:rPr>
      </w:pPr>
      <w:r w:rsidRPr="00E47650">
        <w:rPr>
          <w:rFonts w:asciiTheme="minorHAnsi" w:hAnsiTheme="minorHAnsi"/>
          <w:sz w:val="23"/>
          <w:szCs w:val="23"/>
        </w:rPr>
        <w:t>Sincerely yours,</w:t>
      </w:r>
    </w:p>
    <w:p w:rsidR="00CE4238" w:rsidRPr="00E47650" w:rsidRDefault="00CE4238" w:rsidP="00CE4238">
      <w:pPr>
        <w:ind w:left="5040"/>
        <w:jc w:val="both"/>
        <w:rPr>
          <w:rFonts w:asciiTheme="minorHAnsi" w:hAnsiTheme="minorHAnsi"/>
          <w:sz w:val="23"/>
          <w:szCs w:val="23"/>
        </w:rPr>
      </w:pPr>
    </w:p>
    <w:p w:rsidR="00CE4238" w:rsidRPr="00E47650" w:rsidRDefault="00CE4238" w:rsidP="00CE4238">
      <w:pPr>
        <w:ind w:left="5040"/>
        <w:jc w:val="both"/>
        <w:rPr>
          <w:rFonts w:asciiTheme="minorHAnsi" w:hAnsiTheme="minorHAnsi"/>
          <w:sz w:val="23"/>
          <w:szCs w:val="23"/>
        </w:rPr>
      </w:pPr>
      <w:r w:rsidRPr="00E47650">
        <w:rPr>
          <w:rFonts w:asciiTheme="minorHAnsi" w:hAnsiTheme="minorHAnsi"/>
          <w:noProof/>
          <w:sz w:val="23"/>
          <w:szCs w:val="23"/>
        </w:rPr>
        <w:drawing>
          <wp:inline distT="0" distB="0" distL="0" distR="0" wp14:anchorId="3ED8E940" wp14:editId="2279186A">
            <wp:extent cx="2571750" cy="574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6223" cy="575475"/>
                    </a:xfrm>
                    <a:prstGeom prst="rect">
                      <a:avLst/>
                    </a:prstGeom>
                  </pic:spPr>
                </pic:pic>
              </a:graphicData>
            </a:graphic>
          </wp:inline>
        </w:drawing>
      </w:r>
    </w:p>
    <w:p w:rsidR="00CE4238" w:rsidRPr="00E47650" w:rsidRDefault="00CE4238" w:rsidP="00CE4238">
      <w:pPr>
        <w:ind w:left="5040"/>
        <w:jc w:val="both"/>
        <w:rPr>
          <w:rFonts w:asciiTheme="minorHAnsi" w:hAnsiTheme="minorHAnsi"/>
          <w:sz w:val="23"/>
          <w:szCs w:val="23"/>
        </w:rPr>
      </w:pPr>
    </w:p>
    <w:p w:rsidR="00CE4238" w:rsidRPr="00E47650" w:rsidRDefault="00CE4238" w:rsidP="00CE4238">
      <w:pPr>
        <w:ind w:left="5040"/>
        <w:jc w:val="both"/>
        <w:rPr>
          <w:rFonts w:asciiTheme="minorHAnsi" w:hAnsiTheme="minorHAnsi"/>
          <w:sz w:val="23"/>
          <w:szCs w:val="23"/>
        </w:rPr>
      </w:pPr>
      <w:r w:rsidRPr="00E47650">
        <w:rPr>
          <w:rFonts w:asciiTheme="minorHAnsi" w:hAnsiTheme="minorHAnsi"/>
          <w:sz w:val="23"/>
          <w:szCs w:val="23"/>
        </w:rPr>
        <w:t>J. Steven Brown</w:t>
      </w:r>
      <w:r w:rsidR="00D03B3C">
        <w:rPr>
          <w:rFonts w:asciiTheme="minorHAnsi" w:hAnsiTheme="minorHAnsi"/>
          <w:sz w:val="23"/>
          <w:szCs w:val="23"/>
        </w:rPr>
        <w:t>, Ph.D.</w:t>
      </w:r>
    </w:p>
    <w:p w:rsidR="00DE7F70" w:rsidRPr="00CB4F88" w:rsidRDefault="00D03B3C" w:rsidP="00D03B3C">
      <w:pPr>
        <w:ind w:left="5040"/>
        <w:rPr>
          <w:rFonts w:asciiTheme="minorHAnsi" w:hAnsiTheme="minorHAnsi"/>
          <w:sz w:val="23"/>
          <w:szCs w:val="23"/>
        </w:rPr>
      </w:pPr>
      <w:r>
        <w:rPr>
          <w:rFonts w:asciiTheme="minorHAnsi" w:hAnsiTheme="minorHAnsi"/>
          <w:sz w:val="23"/>
          <w:szCs w:val="23"/>
        </w:rPr>
        <w:t xml:space="preserve">Senior </w:t>
      </w:r>
      <w:r w:rsidR="00CE4238" w:rsidRPr="00E47650">
        <w:rPr>
          <w:rFonts w:asciiTheme="minorHAnsi" w:hAnsiTheme="minorHAnsi"/>
          <w:sz w:val="23"/>
          <w:szCs w:val="23"/>
        </w:rPr>
        <w:t xml:space="preserve">Vice Provost </w:t>
      </w:r>
      <w:r>
        <w:rPr>
          <w:rFonts w:asciiTheme="minorHAnsi" w:hAnsiTheme="minorHAnsi"/>
          <w:sz w:val="23"/>
          <w:szCs w:val="23"/>
        </w:rPr>
        <w:t xml:space="preserve">for Academic Administration </w:t>
      </w:r>
      <w:r w:rsidR="00CE4238" w:rsidRPr="00E47650">
        <w:rPr>
          <w:rFonts w:asciiTheme="minorHAnsi" w:hAnsiTheme="minorHAnsi"/>
          <w:sz w:val="23"/>
          <w:szCs w:val="23"/>
        </w:rPr>
        <w:t>and Dean of Graduate Studies</w:t>
      </w:r>
    </w:p>
    <w:sectPr w:rsidR="00DE7F70" w:rsidRPr="00CB4F88" w:rsidSect="00F125ED">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43" w:rsidRDefault="00B96A43">
      <w:r>
        <w:separator/>
      </w:r>
    </w:p>
  </w:endnote>
  <w:endnote w:type="continuationSeparator" w:id="0">
    <w:p w:rsidR="00B96A43" w:rsidRDefault="00B9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38" w:rsidRDefault="00CE4238">
    <w:pPr>
      <w:pStyle w:val="Footer"/>
    </w:pPr>
    <w:r>
      <w:tab/>
    </w:r>
    <w:r w:rsidR="0061199F">
      <w:t xml:space="preserve">Page </w:t>
    </w:r>
    <w:r w:rsidR="0061199F">
      <w:rPr>
        <w:b/>
        <w:bCs/>
      </w:rPr>
      <w:fldChar w:fldCharType="begin"/>
    </w:r>
    <w:r w:rsidR="0061199F">
      <w:rPr>
        <w:b/>
        <w:bCs/>
      </w:rPr>
      <w:instrText xml:space="preserve"> PAGE  \* Arabic  \* MERGEFORMAT </w:instrText>
    </w:r>
    <w:r w:rsidR="0061199F">
      <w:rPr>
        <w:b/>
        <w:bCs/>
      </w:rPr>
      <w:fldChar w:fldCharType="separate"/>
    </w:r>
    <w:r w:rsidR="00465F5E">
      <w:rPr>
        <w:b/>
        <w:bCs/>
        <w:noProof/>
      </w:rPr>
      <w:t>2</w:t>
    </w:r>
    <w:r w:rsidR="0061199F">
      <w:rPr>
        <w:b/>
        <w:bCs/>
      </w:rPr>
      <w:fldChar w:fldCharType="end"/>
    </w:r>
    <w:r w:rsidR="0061199F">
      <w:t xml:space="preserve"> of </w:t>
    </w:r>
    <w:r w:rsidR="0061199F">
      <w:rPr>
        <w:b/>
        <w:bCs/>
      </w:rPr>
      <w:fldChar w:fldCharType="begin"/>
    </w:r>
    <w:r w:rsidR="0061199F">
      <w:rPr>
        <w:b/>
        <w:bCs/>
      </w:rPr>
      <w:instrText xml:space="preserve"> NUMPAGES  \* Arabic  \* MERGEFORMAT </w:instrText>
    </w:r>
    <w:r w:rsidR="0061199F">
      <w:rPr>
        <w:b/>
        <w:bCs/>
      </w:rPr>
      <w:fldChar w:fldCharType="separate"/>
    </w:r>
    <w:r w:rsidR="00465F5E">
      <w:rPr>
        <w:b/>
        <w:bCs/>
        <w:noProof/>
      </w:rPr>
      <w:t>2</w:t>
    </w:r>
    <w:r w:rsidR="0061199F">
      <w:rPr>
        <w:b/>
        <w:bC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4A" w:rsidRDefault="0098152E" w:rsidP="0098152E">
    <w:pPr>
      <w:rPr>
        <w:rFonts w:ascii="Minion Pro" w:hAnsi="Minion Pro"/>
        <w:b/>
        <w:color w:val="B3282D"/>
        <w:w w:val="105"/>
        <w:sz w:val="26"/>
        <w:szCs w:val="26"/>
      </w:rPr>
    </w:pPr>
    <w:r w:rsidRPr="00852AB5">
      <w:rPr>
        <w:rFonts w:ascii="Minion Pro" w:hAnsi="Minion Pro"/>
        <w:b/>
        <w:color w:val="B3282D"/>
        <w:w w:val="105"/>
        <w:sz w:val="26"/>
        <w:szCs w:val="26"/>
      </w:rPr>
      <w:t xml:space="preserve">Office of the </w:t>
    </w:r>
    <w:r w:rsidR="00D03B3C">
      <w:rPr>
        <w:rFonts w:ascii="Minion Pro" w:hAnsi="Minion Pro"/>
        <w:b/>
        <w:color w:val="B3282D"/>
        <w:w w:val="105"/>
        <w:sz w:val="26"/>
        <w:szCs w:val="26"/>
      </w:rPr>
      <w:t xml:space="preserve">Senior </w:t>
    </w:r>
    <w:r w:rsidRPr="00852AB5">
      <w:rPr>
        <w:rFonts w:ascii="Minion Pro" w:hAnsi="Minion Pro"/>
        <w:b/>
        <w:color w:val="B3282D"/>
        <w:w w:val="105"/>
        <w:sz w:val="26"/>
        <w:szCs w:val="26"/>
      </w:rPr>
      <w:t xml:space="preserve">Vice Provost </w:t>
    </w:r>
    <w:r w:rsidR="00D03B3C">
      <w:rPr>
        <w:rFonts w:ascii="Minion Pro" w:hAnsi="Minion Pro"/>
        <w:b/>
        <w:color w:val="B3282D"/>
        <w:w w:val="105"/>
        <w:sz w:val="26"/>
        <w:szCs w:val="26"/>
      </w:rPr>
      <w:t>for Academic Administration</w:t>
    </w:r>
    <w:r w:rsidR="0059464A">
      <w:rPr>
        <w:rFonts w:ascii="Minion Pro" w:hAnsi="Minion Pro"/>
        <w:b/>
        <w:color w:val="B3282D"/>
        <w:w w:val="105"/>
        <w:sz w:val="26"/>
        <w:szCs w:val="26"/>
      </w:rPr>
      <w:t xml:space="preserve"> </w:t>
    </w:r>
  </w:p>
  <w:p w:rsidR="0098152E" w:rsidRPr="00852AB5" w:rsidRDefault="0098152E" w:rsidP="0098152E">
    <w:pPr>
      <w:rPr>
        <w:rFonts w:ascii="Minion Pro" w:hAnsi="Minion Pro"/>
        <w:b/>
        <w:color w:val="B3282D"/>
        <w:sz w:val="26"/>
        <w:szCs w:val="26"/>
      </w:rPr>
    </w:pPr>
    <w:proofErr w:type="gramStart"/>
    <w:r w:rsidRPr="00852AB5">
      <w:rPr>
        <w:rFonts w:ascii="Minion Pro" w:hAnsi="Minion Pro"/>
        <w:b/>
        <w:color w:val="B3282D"/>
        <w:w w:val="105"/>
        <w:sz w:val="26"/>
        <w:szCs w:val="26"/>
      </w:rPr>
      <w:t>and</w:t>
    </w:r>
    <w:proofErr w:type="gramEnd"/>
    <w:r w:rsidRPr="00852AB5">
      <w:rPr>
        <w:rFonts w:ascii="Minion Pro" w:hAnsi="Minion Pro"/>
        <w:b/>
        <w:color w:val="B3282D"/>
        <w:w w:val="105"/>
        <w:sz w:val="26"/>
        <w:szCs w:val="26"/>
      </w:rPr>
      <w:t xml:space="preserve"> Dean of Graduate Studies</w:t>
    </w:r>
  </w:p>
  <w:p w:rsidR="00267FE4" w:rsidRPr="00B91142" w:rsidRDefault="00B91142" w:rsidP="0098152E">
    <w:pPr>
      <w:rPr>
        <w:rFonts w:ascii="Minion Pro" w:hAnsi="Minion Pro"/>
        <w:b/>
        <w:sz w:val="18"/>
        <w:szCs w:val="18"/>
      </w:rPr>
    </w:pPr>
    <w:r w:rsidRPr="00B91142">
      <w:rPr>
        <w:rFonts w:ascii="Minion Pro" w:hAnsi="Minion Pro"/>
        <w:color w:val="1A1A1A"/>
        <w:sz w:val="18"/>
        <w:szCs w:val="18"/>
      </w:rPr>
      <w:t xml:space="preserve">620 Michigan Ave., </w:t>
    </w:r>
    <w:r w:rsidR="0098152E" w:rsidRPr="00B91142">
      <w:rPr>
        <w:rFonts w:ascii="Minion Pro" w:hAnsi="Minion Pro"/>
        <w:color w:val="1A1A1A"/>
        <w:sz w:val="18"/>
        <w:szCs w:val="18"/>
      </w:rPr>
      <w:t xml:space="preserve">N.E. </w:t>
    </w:r>
    <w:r w:rsidR="0098152E" w:rsidRPr="00B91142">
      <w:rPr>
        <w:rFonts w:ascii="Minion Pro" w:hAnsi="Minion Pro"/>
        <w:color w:val="1A1A1A"/>
        <w:w w:val="65"/>
        <w:sz w:val="18"/>
        <w:szCs w:val="18"/>
      </w:rPr>
      <w:t xml:space="preserve">I </w:t>
    </w:r>
    <w:r w:rsidR="0098152E" w:rsidRPr="00B91142">
      <w:rPr>
        <w:rFonts w:ascii="Minion Pro" w:hAnsi="Minion Pro"/>
        <w:color w:val="1A1A1A"/>
        <w:sz w:val="18"/>
        <w:szCs w:val="18"/>
      </w:rPr>
      <w:t xml:space="preserve">Washington, DC 20064 </w:t>
    </w:r>
    <w:r w:rsidR="0098152E" w:rsidRPr="00B91142">
      <w:rPr>
        <w:rFonts w:ascii="Minion Pro" w:hAnsi="Minion Pro"/>
        <w:color w:val="1A1A1A"/>
        <w:w w:val="65"/>
        <w:sz w:val="18"/>
        <w:szCs w:val="18"/>
      </w:rPr>
      <w:t xml:space="preserve">I </w:t>
    </w:r>
    <w:r w:rsidR="0098152E" w:rsidRPr="00B91142">
      <w:rPr>
        <w:rFonts w:ascii="Minion Pro" w:hAnsi="Minion Pro"/>
        <w:color w:val="1A1A1A"/>
        <w:sz w:val="18"/>
        <w:szCs w:val="18"/>
      </w:rPr>
      <w:t xml:space="preserve">202-319-5247 </w:t>
    </w:r>
    <w:r w:rsidR="0098152E" w:rsidRPr="00B91142">
      <w:rPr>
        <w:rFonts w:ascii="Minion Pro" w:hAnsi="Minion Pro"/>
        <w:color w:val="1A1A1A"/>
        <w:w w:val="65"/>
        <w:sz w:val="18"/>
        <w:szCs w:val="18"/>
      </w:rPr>
      <w:t xml:space="preserve">I </w:t>
    </w:r>
    <w:r w:rsidR="00852AB5" w:rsidRPr="00B91142">
      <w:rPr>
        <w:rFonts w:ascii="Minion Pro" w:hAnsi="Minion Pro"/>
        <w:color w:val="1A1A1A"/>
        <w:sz w:val="18"/>
        <w:szCs w:val="18"/>
      </w:rPr>
      <w:t>202-319-6174</w:t>
    </w:r>
    <w:r w:rsidR="0098152E" w:rsidRPr="00B91142">
      <w:rPr>
        <w:rFonts w:ascii="Minion Pro" w:hAnsi="Minion Pro"/>
        <w:color w:val="1A1A1A"/>
        <w:sz w:val="18"/>
        <w:szCs w:val="18"/>
      </w:rPr>
      <w:t xml:space="preserve"> (FAX) </w:t>
    </w:r>
    <w:r w:rsidR="0098152E" w:rsidRPr="00B91142">
      <w:rPr>
        <w:rFonts w:ascii="Minion Pro" w:hAnsi="Minion Pro"/>
        <w:color w:val="1A1A1A"/>
        <w:w w:val="65"/>
        <w:sz w:val="18"/>
        <w:szCs w:val="18"/>
      </w:rPr>
      <w:t xml:space="preserve">I </w:t>
    </w:r>
    <w:r w:rsidR="0098152E" w:rsidRPr="00B91142">
      <w:rPr>
        <w:rFonts w:ascii="Minion Pro" w:hAnsi="Minion Pro"/>
        <w:color w:val="1A1A1A"/>
        <w:sz w:val="18"/>
        <w:szCs w:val="18"/>
      </w:rPr>
      <w:t>cua-graduatestudies@cua.edu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43" w:rsidRDefault="00B96A43">
      <w:r>
        <w:separator/>
      </w:r>
    </w:p>
  </w:footnote>
  <w:footnote w:type="continuationSeparator" w:id="0">
    <w:p w:rsidR="00B96A43" w:rsidRDefault="00B9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41" w:rsidRDefault="00C04041" w:rsidP="00A868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041" w:rsidRDefault="00C04041" w:rsidP="002B55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41" w:rsidRPr="00267FE4" w:rsidRDefault="00C04041" w:rsidP="002B5521">
    <w:pPr>
      <w:pStyle w:val="Header"/>
      <w:ind w:right="360"/>
      <w:rPr>
        <w:sz w:val="20"/>
        <w:szCs w:val="20"/>
      </w:rPr>
    </w:pPr>
    <w:r w:rsidRPr="00A45403">
      <w:rPr>
        <w:i/>
        <w:sz w:val="20"/>
        <w:szCs w:val="20"/>
      </w:rPr>
      <w:tab/>
    </w:r>
    <w:r w:rsidRPr="00A45403">
      <w:rPr>
        <w:i/>
        <w:sz w:val="20"/>
        <w:szCs w:val="20"/>
      </w:rPr>
      <w:tab/>
    </w:r>
    <w:r w:rsidR="00267FE4">
      <w:rPr>
        <w:i/>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2E" w:rsidRPr="0098152E" w:rsidRDefault="001A003A" w:rsidP="0098152E">
    <w:pPr>
      <w:pStyle w:val="Header"/>
      <w:jc w:val="center"/>
    </w:pPr>
    <w:r>
      <w:rPr>
        <w:noProof/>
      </w:rPr>
      <w:drawing>
        <wp:inline distT="0" distB="0" distL="0" distR="0">
          <wp:extent cx="2386584" cy="1847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Vertical_ViceProvost-DGS_3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584" cy="1847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B47"/>
    <w:multiLevelType w:val="hybridMultilevel"/>
    <w:tmpl w:val="B1664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36B3"/>
    <w:multiLevelType w:val="multilevel"/>
    <w:tmpl w:val="84C642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4567327F"/>
    <w:multiLevelType w:val="hybridMultilevel"/>
    <w:tmpl w:val="0BFE842C"/>
    <w:lvl w:ilvl="0" w:tplc="B7386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9B"/>
    <w:rsid w:val="0002474A"/>
    <w:rsid w:val="00042CAF"/>
    <w:rsid w:val="0005257B"/>
    <w:rsid w:val="000D5DEC"/>
    <w:rsid w:val="000E4598"/>
    <w:rsid w:val="001A003A"/>
    <w:rsid w:val="001A164E"/>
    <w:rsid w:val="001A3A41"/>
    <w:rsid w:val="001B24C7"/>
    <w:rsid w:val="00204567"/>
    <w:rsid w:val="002056E4"/>
    <w:rsid w:val="00225CBA"/>
    <w:rsid w:val="00227B03"/>
    <w:rsid w:val="002442AF"/>
    <w:rsid w:val="002527D6"/>
    <w:rsid w:val="00267FE4"/>
    <w:rsid w:val="002706D8"/>
    <w:rsid w:val="00290AEA"/>
    <w:rsid w:val="002B34A0"/>
    <w:rsid w:val="002B5521"/>
    <w:rsid w:val="00384B7B"/>
    <w:rsid w:val="003A0FA5"/>
    <w:rsid w:val="003A6F76"/>
    <w:rsid w:val="003D6D64"/>
    <w:rsid w:val="00465F5E"/>
    <w:rsid w:val="00466E62"/>
    <w:rsid w:val="00490F4B"/>
    <w:rsid w:val="004B6E8D"/>
    <w:rsid w:val="004C6D6F"/>
    <w:rsid w:val="004F6549"/>
    <w:rsid w:val="005255F7"/>
    <w:rsid w:val="005407DC"/>
    <w:rsid w:val="00574E3F"/>
    <w:rsid w:val="0059464A"/>
    <w:rsid w:val="005A458B"/>
    <w:rsid w:val="005B0ED4"/>
    <w:rsid w:val="005D3E81"/>
    <w:rsid w:val="0061199F"/>
    <w:rsid w:val="006820F7"/>
    <w:rsid w:val="0068319C"/>
    <w:rsid w:val="00693FEB"/>
    <w:rsid w:val="006F79A2"/>
    <w:rsid w:val="007C3640"/>
    <w:rsid w:val="00801201"/>
    <w:rsid w:val="00804C0C"/>
    <w:rsid w:val="0083676B"/>
    <w:rsid w:val="00852AB5"/>
    <w:rsid w:val="008D3F61"/>
    <w:rsid w:val="008D6D9E"/>
    <w:rsid w:val="009008DE"/>
    <w:rsid w:val="00934117"/>
    <w:rsid w:val="00936A11"/>
    <w:rsid w:val="0098152E"/>
    <w:rsid w:val="009B3A5D"/>
    <w:rsid w:val="009E7D50"/>
    <w:rsid w:val="00A45403"/>
    <w:rsid w:val="00A576C5"/>
    <w:rsid w:val="00A80234"/>
    <w:rsid w:val="00A868EB"/>
    <w:rsid w:val="00B03228"/>
    <w:rsid w:val="00B1704A"/>
    <w:rsid w:val="00B35A14"/>
    <w:rsid w:val="00B52D3D"/>
    <w:rsid w:val="00B72778"/>
    <w:rsid w:val="00B91142"/>
    <w:rsid w:val="00B96A43"/>
    <w:rsid w:val="00B978CD"/>
    <w:rsid w:val="00C04041"/>
    <w:rsid w:val="00C138FB"/>
    <w:rsid w:val="00C14545"/>
    <w:rsid w:val="00C14A43"/>
    <w:rsid w:val="00C323D3"/>
    <w:rsid w:val="00C421A6"/>
    <w:rsid w:val="00CA536E"/>
    <w:rsid w:val="00CA6E50"/>
    <w:rsid w:val="00CB4F88"/>
    <w:rsid w:val="00CC0F9B"/>
    <w:rsid w:val="00CE4238"/>
    <w:rsid w:val="00D004FE"/>
    <w:rsid w:val="00D03B3C"/>
    <w:rsid w:val="00DE7F70"/>
    <w:rsid w:val="00DF665B"/>
    <w:rsid w:val="00DF78A7"/>
    <w:rsid w:val="00E54AF7"/>
    <w:rsid w:val="00E80D86"/>
    <w:rsid w:val="00ED42B2"/>
    <w:rsid w:val="00EE5DF6"/>
    <w:rsid w:val="00F125ED"/>
    <w:rsid w:val="00F153E8"/>
    <w:rsid w:val="00F375A9"/>
    <w:rsid w:val="00F52933"/>
    <w:rsid w:val="00F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EC405"/>
  <w15:docId w15:val="{EE01BB3A-B6BA-465D-AED3-5470EDF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A6"/>
    <w:rPr>
      <w:sz w:val="24"/>
      <w:szCs w:val="24"/>
    </w:rPr>
  </w:style>
  <w:style w:type="paragraph" w:styleId="Heading1">
    <w:name w:val="heading 1"/>
    <w:basedOn w:val="Normal"/>
    <w:next w:val="Normal"/>
    <w:qFormat/>
    <w:rsid w:val="00CC0F9B"/>
    <w:pPr>
      <w:keepNext/>
      <w:spacing w:after="120"/>
      <w:jc w:val="center"/>
      <w:outlineLvl w:val="0"/>
    </w:pPr>
    <w:rPr>
      <w:rFonts w:ascii="Bookman Old Style" w:hAnsi="Bookman Old Style"/>
      <w:i/>
      <w:small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0F9B"/>
    <w:pPr>
      <w:jc w:val="center"/>
    </w:pPr>
    <w:rPr>
      <w:smallCaps/>
      <w:sz w:val="36"/>
      <w:szCs w:val="36"/>
    </w:rPr>
  </w:style>
  <w:style w:type="paragraph" w:styleId="Header">
    <w:name w:val="header"/>
    <w:basedOn w:val="Normal"/>
    <w:link w:val="HeaderChar"/>
    <w:uiPriority w:val="99"/>
    <w:rsid w:val="00A45403"/>
    <w:pPr>
      <w:tabs>
        <w:tab w:val="center" w:pos="4320"/>
        <w:tab w:val="right" w:pos="8640"/>
      </w:tabs>
    </w:pPr>
  </w:style>
  <w:style w:type="paragraph" w:styleId="Footer">
    <w:name w:val="footer"/>
    <w:basedOn w:val="Normal"/>
    <w:link w:val="FooterChar"/>
    <w:uiPriority w:val="99"/>
    <w:rsid w:val="00A45403"/>
    <w:pPr>
      <w:tabs>
        <w:tab w:val="center" w:pos="4320"/>
        <w:tab w:val="right" w:pos="8640"/>
      </w:tabs>
    </w:pPr>
  </w:style>
  <w:style w:type="character" w:styleId="PageNumber">
    <w:name w:val="page number"/>
    <w:basedOn w:val="DefaultParagraphFont"/>
    <w:rsid w:val="00A45403"/>
  </w:style>
  <w:style w:type="paragraph" w:styleId="BalloonText">
    <w:name w:val="Balloon Text"/>
    <w:basedOn w:val="Normal"/>
    <w:link w:val="BalloonTextChar"/>
    <w:rsid w:val="00C14545"/>
    <w:rPr>
      <w:rFonts w:ascii="Tahoma" w:hAnsi="Tahoma" w:cs="Tahoma"/>
      <w:sz w:val="16"/>
      <w:szCs w:val="16"/>
    </w:rPr>
  </w:style>
  <w:style w:type="character" w:customStyle="1" w:styleId="BalloonTextChar">
    <w:name w:val="Balloon Text Char"/>
    <w:link w:val="BalloonText"/>
    <w:rsid w:val="00C14545"/>
    <w:rPr>
      <w:rFonts w:ascii="Tahoma" w:hAnsi="Tahoma" w:cs="Tahoma"/>
      <w:sz w:val="16"/>
      <w:szCs w:val="16"/>
    </w:rPr>
  </w:style>
  <w:style w:type="table" w:styleId="TableGrid">
    <w:name w:val="Table Grid"/>
    <w:basedOn w:val="TableNormal"/>
    <w:rsid w:val="002B3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04041"/>
    <w:rPr>
      <w:color w:val="0000FF"/>
      <w:u w:val="single"/>
    </w:rPr>
  </w:style>
  <w:style w:type="character" w:customStyle="1" w:styleId="HeaderChar">
    <w:name w:val="Header Char"/>
    <w:link w:val="Header"/>
    <w:uiPriority w:val="99"/>
    <w:rsid w:val="00267FE4"/>
    <w:rPr>
      <w:sz w:val="24"/>
      <w:szCs w:val="24"/>
    </w:rPr>
  </w:style>
  <w:style w:type="character" w:customStyle="1" w:styleId="TitleChar">
    <w:name w:val="Title Char"/>
    <w:link w:val="Title"/>
    <w:rsid w:val="002442AF"/>
    <w:rPr>
      <w:smallCaps/>
      <w:sz w:val="36"/>
      <w:szCs w:val="36"/>
    </w:rPr>
  </w:style>
  <w:style w:type="character" w:customStyle="1" w:styleId="FooterChar">
    <w:name w:val="Footer Char"/>
    <w:basedOn w:val="DefaultParagraphFont"/>
    <w:link w:val="Footer"/>
    <w:uiPriority w:val="99"/>
    <w:rsid w:val="0098152E"/>
    <w:rPr>
      <w:sz w:val="24"/>
      <w:szCs w:val="24"/>
    </w:rPr>
  </w:style>
  <w:style w:type="paragraph" w:styleId="ListParagraph">
    <w:name w:val="List Paragraph"/>
    <w:basedOn w:val="Normal"/>
    <w:uiPriority w:val="34"/>
    <w:qFormat/>
    <w:rsid w:val="00CE4238"/>
    <w:pPr>
      <w:ind w:left="720"/>
      <w:contextualSpacing/>
    </w:pPr>
    <w:rPr>
      <w:rFonts w:ascii="Arial" w:hAnsi="Arial"/>
      <w:sz w:val="22"/>
    </w:rPr>
  </w:style>
  <w:style w:type="paragraph" w:styleId="NoSpacing">
    <w:name w:val="No Spacing"/>
    <w:uiPriority w:val="1"/>
    <w:qFormat/>
    <w:rsid w:val="00CE423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94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2801">
      <w:bodyDiv w:val="1"/>
      <w:marLeft w:val="0"/>
      <w:marRight w:val="0"/>
      <w:marTop w:val="0"/>
      <w:marBottom w:val="0"/>
      <w:divBdr>
        <w:top w:val="none" w:sz="0" w:space="0" w:color="auto"/>
        <w:left w:val="none" w:sz="0" w:space="0" w:color="auto"/>
        <w:bottom w:val="none" w:sz="0" w:space="0" w:color="auto"/>
        <w:right w:val="none" w:sz="0" w:space="0" w:color="auto"/>
      </w:divBdr>
      <w:divsChild>
        <w:div w:id="2141727134">
          <w:marLeft w:val="0"/>
          <w:marRight w:val="0"/>
          <w:marTop w:val="0"/>
          <w:marBottom w:val="0"/>
          <w:divBdr>
            <w:top w:val="none" w:sz="0" w:space="0" w:color="auto"/>
            <w:left w:val="none" w:sz="0" w:space="0" w:color="auto"/>
            <w:bottom w:val="none" w:sz="0" w:space="0" w:color="auto"/>
            <w:right w:val="none" w:sz="0" w:space="0" w:color="auto"/>
          </w:divBdr>
          <w:divsChild>
            <w:div w:id="603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6977">
      <w:bodyDiv w:val="1"/>
      <w:marLeft w:val="0"/>
      <w:marRight w:val="0"/>
      <w:marTop w:val="0"/>
      <w:marBottom w:val="0"/>
      <w:divBdr>
        <w:top w:val="none" w:sz="0" w:space="0" w:color="auto"/>
        <w:left w:val="none" w:sz="0" w:space="0" w:color="auto"/>
        <w:bottom w:val="none" w:sz="0" w:space="0" w:color="auto"/>
        <w:right w:val="none" w:sz="0" w:space="0" w:color="auto"/>
      </w:divBdr>
    </w:div>
    <w:div w:id="1479302789">
      <w:bodyDiv w:val="1"/>
      <w:marLeft w:val="0"/>
      <w:marRight w:val="0"/>
      <w:marTop w:val="0"/>
      <w:marBottom w:val="0"/>
      <w:divBdr>
        <w:top w:val="none" w:sz="0" w:space="0" w:color="auto"/>
        <w:left w:val="none" w:sz="0" w:space="0" w:color="auto"/>
        <w:bottom w:val="none" w:sz="0" w:space="0" w:color="auto"/>
        <w:right w:val="none" w:sz="0" w:space="0" w:color="auto"/>
      </w:divBdr>
    </w:div>
    <w:div w:id="1633636374">
      <w:bodyDiv w:val="1"/>
      <w:marLeft w:val="0"/>
      <w:marRight w:val="0"/>
      <w:marTop w:val="0"/>
      <w:marBottom w:val="0"/>
      <w:divBdr>
        <w:top w:val="none" w:sz="0" w:space="0" w:color="auto"/>
        <w:left w:val="none" w:sz="0" w:space="0" w:color="auto"/>
        <w:bottom w:val="none" w:sz="0" w:space="0" w:color="auto"/>
        <w:right w:val="none" w:sz="0" w:space="0" w:color="auto"/>
      </w:divBdr>
    </w:div>
    <w:div w:id="20903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nsored-research.catholic.edu/budge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olicies.cua.edu/academicgrad/enrollgradfull2.cf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33B2-56C0-45FC-9DD0-CB846AB2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CUA</vt:lpstr>
    </vt:vector>
  </TitlesOfParts>
  <Company>The Catholic University of America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c:title>
  <dc:creator>CUA</dc:creator>
  <cp:lastModifiedBy>David Long</cp:lastModifiedBy>
  <cp:revision>4</cp:revision>
  <cp:lastPrinted>2008-10-07T15:27:00Z</cp:lastPrinted>
  <dcterms:created xsi:type="dcterms:W3CDTF">2020-08-26T21:00:00Z</dcterms:created>
  <dcterms:modified xsi:type="dcterms:W3CDTF">2020-08-27T19:41:00Z</dcterms:modified>
</cp:coreProperties>
</file>